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9AA" w:rsidRPr="00593EF4" w:rsidRDefault="00F85CFB" w:rsidP="00593EF4">
      <w:pPr>
        <w:jc w:val="center"/>
        <w:rPr>
          <w:b/>
          <w:sz w:val="24"/>
        </w:rPr>
      </w:pPr>
      <w:r>
        <w:rPr>
          <w:b/>
          <w:sz w:val="24"/>
        </w:rPr>
        <w:t xml:space="preserve">SAE melding en </w:t>
      </w:r>
      <w:r w:rsidR="006F67F8">
        <w:rPr>
          <w:b/>
          <w:sz w:val="24"/>
        </w:rPr>
        <w:t>rapportage</w:t>
      </w:r>
    </w:p>
    <w:p w:rsidR="000457C1" w:rsidRDefault="000457C1" w:rsidP="00732DB0"/>
    <w:p w:rsidR="00A365F5" w:rsidRDefault="00A365F5" w:rsidP="00732DB0">
      <w:pPr>
        <w:rPr>
          <w:b/>
        </w:rPr>
      </w:pPr>
      <w:r w:rsidRPr="00A365F5">
        <w:rPr>
          <w:b/>
        </w:rPr>
        <w:t>Algemeen</w:t>
      </w:r>
    </w:p>
    <w:p w:rsidR="00F86CF5" w:rsidRDefault="00F86CF5" w:rsidP="00732DB0">
      <w:pPr>
        <w:rPr>
          <w:b/>
        </w:rPr>
      </w:pPr>
    </w:p>
    <w:p w:rsidR="00C835DC" w:rsidRDefault="000457C1" w:rsidP="00732DB0">
      <w:proofErr w:type="spellStart"/>
      <w:r>
        <w:t>SAE’s</w:t>
      </w:r>
      <w:proofErr w:type="spellEnd"/>
      <w:r>
        <w:t xml:space="preserve"> die zich tijdens het onderzoek voortdoen dienen binnen 24 uur gemeld te worden aan de opdrachtgever</w:t>
      </w:r>
      <w:r w:rsidR="002E1F99">
        <w:t xml:space="preserve">.  </w:t>
      </w:r>
      <w:r>
        <w:t xml:space="preserve">De </w:t>
      </w:r>
      <w:r w:rsidR="002E1F99">
        <w:t>opdrachtgever</w:t>
      </w:r>
      <w:r>
        <w:t xml:space="preserve"> is daarna verplicht de </w:t>
      </w:r>
      <w:proofErr w:type="spellStart"/>
      <w:r>
        <w:t>SAE’s</w:t>
      </w:r>
      <w:proofErr w:type="spellEnd"/>
      <w:r>
        <w:t xml:space="preserve"> binnen 7 dagen te </w:t>
      </w:r>
      <w:r w:rsidR="002E1F99">
        <w:t>melden</w:t>
      </w:r>
      <w:r>
        <w:t xml:space="preserve"> </w:t>
      </w:r>
      <w:r w:rsidR="002E1F99">
        <w:t>aan de toetsende METC via</w:t>
      </w:r>
      <w:r>
        <w:t xml:space="preserve"> </w:t>
      </w:r>
      <w:proofErr w:type="spellStart"/>
      <w:r>
        <w:t>Toetsingonline</w:t>
      </w:r>
      <w:proofErr w:type="spellEnd"/>
      <w:r>
        <w:t xml:space="preserve"> wanneer het voorval heeft geleid tot de dood of een levensbedreigende situatie (met een additionele 8 dagen voor </w:t>
      </w:r>
      <w:r w:rsidR="00A365F5">
        <w:t xml:space="preserve">follow-up details). In overige gevallen geldt er een termijn van 15 dagen. </w:t>
      </w:r>
    </w:p>
    <w:p w:rsidR="00C835DC" w:rsidRDefault="00C835DC" w:rsidP="00732DB0"/>
    <w:p w:rsidR="00A365F5" w:rsidRDefault="00A365F5" w:rsidP="00732DB0">
      <w:r>
        <w:t xml:space="preserve">Alle </w:t>
      </w:r>
      <w:proofErr w:type="spellStart"/>
      <w:r>
        <w:t>SAE’s</w:t>
      </w:r>
      <w:proofErr w:type="spellEnd"/>
      <w:r>
        <w:t xml:space="preserve"> dienen binnen bovengenoemde termijn </w:t>
      </w:r>
      <w:r w:rsidR="002E1F99">
        <w:t>te worden</w:t>
      </w:r>
      <w:r>
        <w:t xml:space="preserve"> gemeld met uitzondering van die </w:t>
      </w:r>
      <w:proofErr w:type="spellStart"/>
      <w:r>
        <w:t>SAE’s</w:t>
      </w:r>
      <w:proofErr w:type="spellEnd"/>
      <w:r>
        <w:t xml:space="preserve"> waarvoor in het onderzoeksprotocol een uitzondering is gemaakt.</w:t>
      </w:r>
      <w:r w:rsidR="00ED6A59">
        <w:t xml:space="preserve"> Voor geneesmiddelonderzoeken betreft de meldingsplicht </w:t>
      </w:r>
      <w:proofErr w:type="spellStart"/>
      <w:r w:rsidR="00ED6A59">
        <w:t>SAE’s</w:t>
      </w:r>
      <w:proofErr w:type="spellEnd"/>
      <w:r w:rsidR="00ED6A59">
        <w:t xml:space="preserve">, </w:t>
      </w:r>
      <w:proofErr w:type="spellStart"/>
      <w:r w:rsidR="00ED6A59">
        <w:t>SSAR’s</w:t>
      </w:r>
      <w:proofErr w:type="spellEnd"/>
      <w:r w:rsidR="00ED6A59">
        <w:t xml:space="preserve"> en </w:t>
      </w:r>
      <w:proofErr w:type="spellStart"/>
      <w:r w:rsidR="00ED6A59">
        <w:t>SUSAR’s</w:t>
      </w:r>
      <w:proofErr w:type="spellEnd"/>
      <w:r w:rsidR="00ED6A59">
        <w:t xml:space="preserve">. Voor onderzoek met een medisch hulmiddel dienen </w:t>
      </w:r>
      <w:r w:rsidR="00593EF4">
        <w:t xml:space="preserve">respectievelijk </w:t>
      </w:r>
      <w:r w:rsidR="00ED6A59">
        <w:t xml:space="preserve">de </w:t>
      </w:r>
      <w:proofErr w:type="spellStart"/>
      <w:r w:rsidR="00ED6A59">
        <w:t>SAE’s</w:t>
      </w:r>
      <w:proofErr w:type="spellEnd"/>
      <w:r w:rsidR="00ED6A59">
        <w:t xml:space="preserve"> </w:t>
      </w:r>
      <w:proofErr w:type="spellStart"/>
      <w:r w:rsidR="00ED6A59">
        <w:t>SADE’s</w:t>
      </w:r>
      <w:proofErr w:type="spellEnd"/>
      <w:r w:rsidR="00ED6A59">
        <w:t xml:space="preserve"> en </w:t>
      </w:r>
      <w:proofErr w:type="spellStart"/>
      <w:r w:rsidR="00ED6A59">
        <w:t>USADE’s</w:t>
      </w:r>
      <w:proofErr w:type="spellEnd"/>
      <w:r w:rsidR="00ED6A59">
        <w:t xml:space="preserve"> gemeld te worden.</w:t>
      </w:r>
    </w:p>
    <w:p w:rsidR="00C835DC" w:rsidRDefault="00C835DC" w:rsidP="00732DB0"/>
    <w:p w:rsidR="00A365F5" w:rsidRDefault="00A365F5" w:rsidP="00732DB0">
      <w:r>
        <w:t xml:space="preserve">Van elke SAE moet worden beoordeeld wat de relatie met het </w:t>
      </w:r>
      <w:proofErr w:type="spellStart"/>
      <w:r>
        <w:t>onderzoeksproduct</w:t>
      </w:r>
      <w:proofErr w:type="spellEnd"/>
      <w:r>
        <w:t xml:space="preserve"> is en of het voorval verwacht of onverwacht is. </w:t>
      </w:r>
      <w:r w:rsidR="002E1F99">
        <w:t xml:space="preserve">Van te voren wordt vastgelegd wie daarvoor verantwoordelijk is. </w:t>
      </w:r>
      <w:r w:rsidR="00C835DC">
        <w:t xml:space="preserve">Als er wordt beoordeeld dat de relatie mogelijk of waarschijnlijk is </w:t>
      </w:r>
      <w:proofErr w:type="spellStart"/>
      <w:r w:rsidR="00C835DC">
        <w:t>is</w:t>
      </w:r>
      <w:proofErr w:type="spellEnd"/>
      <w:r w:rsidR="00C835DC">
        <w:t xml:space="preserve"> er sprake van een SSAR</w:t>
      </w:r>
      <w:r w:rsidR="00593EF4">
        <w:t>/</w:t>
      </w:r>
      <w:r w:rsidR="00C835DC">
        <w:t>SADE. Aan de hand van de productinformatie wordt beoordeeld of het voorval veracht of onverwacht is? Indien het verwacht is blijft het een SSAR/SADE, indien onverwacht wordt het een SUSAR</w:t>
      </w:r>
      <w:r w:rsidR="00593EF4">
        <w:t>/</w:t>
      </w:r>
      <w:r w:rsidR="00C835DC">
        <w:t>USADE.</w:t>
      </w:r>
    </w:p>
    <w:p w:rsidR="00C835DC" w:rsidRDefault="00C835DC" w:rsidP="00732DB0"/>
    <w:p w:rsidR="00A365F5" w:rsidRDefault="00A365F5" w:rsidP="00732DB0"/>
    <w:p w:rsidR="00F86CF5" w:rsidRDefault="0065348B" w:rsidP="00732DB0">
      <w:pPr>
        <w:rPr>
          <w:b/>
        </w:rPr>
      </w:pPr>
      <w:proofErr w:type="spellStart"/>
      <w:r>
        <w:rPr>
          <w:b/>
        </w:rPr>
        <w:t>Studiespecifiek</w:t>
      </w:r>
      <w:proofErr w:type="spellEnd"/>
    </w:p>
    <w:p w:rsidR="00F86CF5" w:rsidRDefault="00F86CF5" w:rsidP="00732DB0">
      <w:pPr>
        <w:rPr>
          <w:b/>
        </w:rPr>
      </w:pPr>
    </w:p>
    <w:p w:rsidR="00F86CF5" w:rsidRDefault="00F86CF5" w:rsidP="00F86CF5">
      <w:r>
        <w:t>Naam van de studie:</w:t>
      </w:r>
    </w:p>
    <w:p w:rsidR="00F86CF5" w:rsidRPr="009D3A35" w:rsidRDefault="00F86CF5" w:rsidP="00F86CF5">
      <w:pPr>
        <w:rPr>
          <w:i/>
          <w:color w:val="FF0000"/>
        </w:rPr>
      </w:pPr>
      <w:r w:rsidRPr="009D3A35">
        <w:rPr>
          <w:i/>
          <w:color w:val="FF0000"/>
        </w:rPr>
        <w:t>Titel en acroniem</w:t>
      </w:r>
    </w:p>
    <w:p w:rsidR="00F86CF5" w:rsidRDefault="00F86CF5" w:rsidP="00F86CF5"/>
    <w:p w:rsidR="00F86CF5" w:rsidRDefault="00F86CF5" w:rsidP="00F86CF5">
      <w:r>
        <w:t xml:space="preserve">Protocol nummer: </w:t>
      </w:r>
    </w:p>
    <w:p w:rsidR="00F86CF5" w:rsidRPr="009A704C" w:rsidRDefault="00F86CF5" w:rsidP="00F86CF5">
      <w:pPr>
        <w:rPr>
          <w:i/>
        </w:rPr>
      </w:pPr>
      <w:r w:rsidRPr="009A704C">
        <w:rPr>
          <w:i/>
          <w:color w:val="FF0000"/>
        </w:rPr>
        <w:t>NL….</w:t>
      </w:r>
    </w:p>
    <w:p w:rsidR="00F86CF5" w:rsidRDefault="00F86CF5" w:rsidP="00F86CF5"/>
    <w:p w:rsidR="00F86CF5" w:rsidRPr="00B36359" w:rsidRDefault="00F86CF5" w:rsidP="00F86CF5">
      <w:r w:rsidRPr="00B36359">
        <w:t>Centrum</w:t>
      </w:r>
    </w:p>
    <w:p w:rsidR="00F86CF5" w:rsidRDefault="00F86CF5" w:rsidP="00F86CF5">
      <w:pPr>
        <w:rPr>
          <w:i/>
          <w:color w:val="FF0000"/>
        </w:rPr>
      </w:pPr>
      <w:r>
        <w:rPr>
          <w:i/>
          <w:color w:val="FF0000"/>
        </w:rPr>
        <w:t>Geef aan welk centrum het hier betreft</w:t>
      </w:r>
    </w:p>
    <w:p w:rsidR="00F86CF5" w:rsidRDefault="00F86CF5" w:rsidP="00F86CF5">
      <w:pPr>
        <w:rPr>
          <w:i/>
          <w:color w:val="FF0000"/>
        </w:rPr>
      </w:pPr>
    </w:p>
    <w:p w:rsidR="00F86CF5" w:rsidRDefault="00F86CF5" w:rsidP="00F86CF5">
      <w:r>
        <w:t>Hoofdonderzoeker.</w:t>
      </w:r>
    </w:p>
    <w:p w:rsidR="00F86CF5" w:rsidRDefault="00F86CF5" w:rsidP="00F86CF5">
      <w:pPr>
        <w:rPr>
          <w:i/>
          <w:color w:val="FF0000"/>
        </w:rPr>
      </w:pPr>
      <w:r w:rsidRPr="009D3A35">
        <w:rPr>
          <w:i/>
          <w:color w:val="FF0000"/>
        </w:rPr>
        <w:t>Wie is de hoofdonderzoeker in dit centrum?</w:t>
      </w:r>
    </w:p>
    <w:p w:rsidR="00F86CF5" w:rsidRDefault="00F86CF5" w:rsidP="00732DB0">
      <w:pPr>
        <w:rPr>
          <w:b/>
        </w:rPr>
      </w:pPr>
    </w:p>
    <w:p w:rsidR="0065348B" w:rsidRDefault="0065348B" w:rsidP="00732DB0">
      <w:pPr>
        <w:rPr>
          <w:b/>
        </w:rPr>
      </w:pPr>
    </w:p>
    <w:p w:rsidR="000457C1" w:rsidRPr="0065348B" w:rsidRDefault="00A365F5" w:rsidP="00732DB0">
      <w:pPr>
        <w:rPr>
          <w:i/>
        </w:rPr>
      </w:pPr>
      <w:r w:rsidRPr="0065348B">
        <w:rPr>
          <w:i/>
        </w:rPr>
        <w:t>Meldingsprocedure</w:t>
      </w:r>
    </w:p>
    <w:p w:rsidR="002244D4" w:rsidRPr="002244D4" w:rsidRDefault="002E1F99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Beschrijf op wat voor wijze de opdrachtgever op de hoogte </w:t>
      </w:r>
      <w:r w:rsidR="001D798F" w:rsidRPr="002244D4">
        <w:rPr>
          <w:i/>
          <w:color w:val="FF0000"/>
        </w:rPr>
        <w:t xml:space="preserve">wordt gebracht van de SAE. </w:t>
      </w:r>
    </w:p>
    <w:p w:rsidR="002244D4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>Hoe is het geregeld bij multicenter onderzoek</w:t>
      </w:r>
      <w:r w:rsidR="0065348B">
        <w:rPr>
          <w:i/>
          <w:color w:val="FF0000"/>
        </w:rPr>
        <w:t xml:space="preserve">, en bij </w:t>
      </w:r>
      <w:proofErr w:type="spellStart"/>
      <w:r w:rsidR="0065348B">
        <w:rPr>
          <w:i/>
          <w:color w:val="FF0000"/>
        </w:rPr>
        <w:t>monocenter</w:t>
      </w:r>
      <w:proofErr w:type="spellEnd"/>
      <w:r w:rsidR="0065348B">
        <w:rPr>
          <w:i/>
          <w:color w:val="FF0000"/>
        </w:rPr>
        <w:t xml:space="preserve"> onderzoek.(hoe wordt vastgelegd dat de onderzoeker aan zichzelf (als opdrachtgever) een SAE meldt </w:t>
      </w:r>
      <w:r w:rsidRPr="002244D4">
        <w:rPr>
          <w:i/>
          <w:color w:val="FF0000"/>
        </w:rPr>
        <w:t xml:space="preserve">)? Op welke momenten is deze persoon/personen bereikbaar? Wat te doen bij afwezigheid, vervanger? </w:t>
      </w:r>
    </w:p>
    <w:p w:rsidR="002E1F99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>Hoe wordt de melding naar de opdrachtgever vastgelegd?</w:t>
      </w:r>
    </w:p>
    <w:p w:rsidR="00ED6A59" w:rsidRPr="002244D4" w:rsidRDefault="00ED6A59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Geef aan dat de minimale hoeveelheid aan informatie in ieder geval moet bestaan uit het </w:t>
      </w:r>
      <w:proofErr w:type="spellStart"/>
      <w:r w:rsidRPr="002244D4">
        <w:rPr>
          <w:i/>
          <w:color w:val="FF0000"/>
        </w:rPr>
        <w:t>onderzoeksproduct</w:t>
      </w:r>
      <w:proofErr w:type="spellEnd"/>
      <w:r w:rsidRPr="002244D4">
        <w:rPr>
          <w:i/>
          <w:color w:val="FF0000"/>
        </w:rPr>
        <w:t>, een beschrijving van het voorval, identificatie van de patiënt</w:t>
      </w:r>
      <w:r w:rsidR="00985279" w:rsidRPr="002244D4">
        <w:rPr>
          <w:i/>
          <w:color w:val="FF0000"/>
        </w:rPr>
        <w:t xml:space="preserve"> (initialen</w:t>
      </w:r>
      <w:r w:rsidR="00F86CF5">
        <w:rPr>
          <w:i/>
          <w:color w:val="FF0000"/>
        </w:rPr>
        <w:t>/codenummer</w:t>
      </w:r>
      <w:r w:rsidR="00985279" w:rsidRPr="002244D4">
        <w:rPr>
          <w:i/>
          <w:color w:val="FF0000"/>
        </w:rPr>
        <w:t xml:space="preserve">) en de naam </w:t>
      </w:r>
      <w:proofErr w:type="spellStart"/>
      <w:r w:rsidR="00985279" w:rsidRPr="002244D4">
        <w:rPr>
          <w:i/>
          <w:color w:val="FF0000"/>
        </w:rPr>
        <w:t>vd</w:t>
      </w:r>
      <w:proofErr w:type="spellEnd"/>
      <w:r w:rsidR="00985279" w:rsidRPr="002244D4">
        <w:rPr>
          <w:i/>
          <w:color w:val="FF0000"/>
        </w:rPr>
        <w:t xml:space="preserve"> onderzoeker die de SAE in eerste instantie heeft gemeld.</w:t>
      </w:r>
    </w:p>
    <w:p w:rsidR="001D798F" w:rsidRPr="002244D4" w:rsidRDefault="001D798F" w:rsidP="002244D4">
      <w:pPr>
        <w:pStyle w:val="Lijstalinea"/>
        <w:numPr>
          <w:ilvl w:val="0"/>
          <w:numId w:val="5"/>
        </w:numPr>
        <w:rPr>
          <w:i/>
          <w:color w:val="FF0000"/>
        </w:rPr>
      </w:pPr>
      <w:r w:rsidRPr="002244D4">
        <w:rPr>
          <w:i/>
          <w:color w:val="FF0000"/>
        </w:rPr>
        <w:t xml:space="preserve">Beschrijf wat er vervolgens met de melding wordt gedaan. Is er een SAE formulier en wie vult dat </w:t>
      </w:r>
      <w:r w:rsidR="002244D4">
        <w:rPr>
          <w:i/>
          <w:color w:val="FF0000"/>
        </w:rPr>
        <w:t>i</w:t>
      </w:r>
      <w:r w:rsidRPr="002244D4">
        <w:rPr>
          <w:i/>
          <w:color w:val="FF0000"/>
        </w:rPr>
        <w:t>n</w:t>
      </w:r>
      <w:r w:rsidR="006E6566" w:rsidRPr="002244D4">
        <w:rPr>
          <w:i/>
          <w:color w:val="FF0000"/>
        </w:rPr>
        <w:t xml:space="preserve">? Wie voert de SAE in </w:t>
      </w:r>
      <w:proofErr w:type="spellStart"/>
      <w:r w:rsidR="006E6566" w:rsidRPr="002244D4">
        <w:rPr>
          <w:i/>
          <w:color w:val="FF0000"/>
        </w:rPr>
        <w:t>in</w:t>
      </w:r>
      <w:proofErr w:type="spellEnd"/>
      <w:r w:rsidR="006E6566" w:rsidRPr="002244D4">
        <w:rPr>
          <w:i/>
          <w:color w:val="FF0000"/>
        </w:rPr>
        <w:t xml:space="preserve"> </w:t>
      </w:r>
      <w:proofErr w:type="spellStart"/>
      <w:r w:rsidR="006E6566" w:rsidRPr="002244D4">
        <w:rPr>
          <w:i/>
          <w:color w:val="FF0000"/>
        </w:rPr>
        <w:t>Toetsingonline</w:t>
      </w:r>
      <w:proofErr w:type="spellEnd"/>
      <w:r w:rsidR="006E6566" w:rsidRPr="002244D4">
        <w:rPr>
          <w:i/>
          <w:color w:val="FF0000"/>
        </w:rPr>
        <w:t xml:space="preserve">. Indien die persoon afwezig is </w:t>
      </w:r>
      <w:proofErr w:type="spellStart"/>
      <w:r w:rsidR="006E6566" w:rsidRPr="002244D4">
        <w:rPr>
          <w:i/>
          <w:color w:val="FF0000"/>
        </w:rPr>
        <w:t>ivm</w:t>
      </w:r>
      <w:proofErr w:type="spellEnd"/>
      <w:r w:rsidR="006E6566" w:rsidRPr="002244D4">
        <w:rPr>
          <w:i/>
          <w:color w:val="FF0000"/>
        </w:rPr>
        <w:t xml:space="preserve"> vakantie of ziekte wie neemt dit dan over en hoe is dat geregeld (toegang tot TOL)</w:t>
      </w:r>
    </w:p>
    <w:p w:rsidR="00985279" w:rsidRDefault="00985279" w:rsidP="00732DB0">
      <w:pPr>
        <w:rPr>
          <w:i/>
          <w:color w:val="FF0000"/>
        </w:rPr>
      </w:pPr>
    </w:p>
    <w:p w:rsidR="00985279" w:rsidRPr="0065348B" w:rsidRDefault="00985279" w:rsidP="00732DB0">
      <w:pPr>
        <w:rPr>
          <w:i/>
        </w:rPr>
      </w:pPr>
      <w:r w:rsidRPr="0065348B">
        <w:rPr>
          <w:i/>
        </w:rPr>
        <w:t>Reviewprocedure</w:t>
      </w:r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 xml:space="preserve">Beschrijf hoe het reviewproces is geregeld. </w:t>
      </w:r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 xml:space="preserve">Wie bepaalt in geblindeerde studies of het noodzakelijk is om te </w:t>
      </w:r>
      <w:proofErr w:type="spellStart"/>
      <w:r w:rsidRPr="00593EF4">
        <w:rPr>
          <w:i/>
          <w:color w:val="FF0000"/>
        </w:rPr>
        <w:t>deblinderen</w:t>
      </w:r>
      <w:proofErr w:type="spellEnd"/>
      <w:r w:rsidRPr="00593EF4">
        <w:rPr>
          <w:i/>
          <w:color w:val="FF0000"/>
        </w:rPr>
        <w:t xml:space="preserve"> en op basis waarvan? Wordt de blindering geheel verbroken of deels?</w:t>
      </w:r>
      <w:r w:rsidR="00593EF4" w:rsidRPr="00593EF4">
        <w:rPr>
          <w:i/>
          <w:color w:val="FF0000"/>
        </w:rPr>
        <w:t xml:space="preserve"> Verwijs eventueel naar de randomisatie en </w:t>
      </w:r>
      <w:proofErr w:type="spellStart"/>
      <w:r w:rsidR="00593EF4" w:rsidRPr="00593EF4">
        <w:rPr>
          <w:i/>
          <w:color w:val="FF0000"/>
        </w:rPr>
        <w:t>deblinderingsprocedure</w:t>
      </w:r>
      <w:proofErr w:type="spellEnd"/>
    </w:p>
    <w:p w:rsidR="002244D4" w:rsidRPr="00593EF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t xml:space="preserve">Wie bepaalt de mogelijke relatie tussen </w:t>
      </w:r>
      <w:proofErr w:type="spellStart"/>
      <w:r w:rsidRPr="00593EF4">
        <w:rPr>
          <w:i/>
          <w:color w:val="FF0000"/>
        </w:rPr>
        <w:t>onderzoeksproduct</w:t>
      </w:r>
      <w:proofErr w:type="spellEnd"/>
      <w:r w:rsidRPr="00593EF4">
        <w:rPr>
          <w:i/>
          <w:color w:val="FF0000"/>
        </w:rPr>
        <w:t xml:space="preserve"> en voorval? Wie doet dat bij afwezigheid van deze persoon?</w:t>
      </w:r>
    </w:p>
    <w:p w:rsidR="002244D4" w:rsidRDefault="002244D4" w:rsidP="00593EF4">
      <w:pPr>
        <w:pStyle w:val="Lijstalinea"/>
        <w:numPr>
          <w:ilvl w:val="0"/>
          <w:numId w:val="6"/>
        </w:numPr>
        <w:rPr>
          <w:i/>
          <w:color w:val="FF0000"/>
        </w:rPr>
      </w:pPr>
      <w:r w:rsidRPr="00593EF4">
        <w:rPr>
          <w:i/>
          <w:color w:val="FF0000"/>
        </w:rPr>
        <w:lastRenderedPageBreak/>
        <w:t>Wie bepaalt of het voorval verwacht of onverwacht is</w:t>
      </w:r>
      <w:r w:rsidR="0065348B">
        <w:rPr>
          <w:i/>
          <w:color w:val="FF0000"/>
        </w:rPr>
        <w:t>. Welke productinformatie word</w:t>
      </w:r>
      <w:r w:rsidR="00F86CF5">
        <w:rPr>
          <w:i/>
          <w:color w:val="FF0000"/>
        </w:rPr>
        <w:t>t daarvoor gebruikt (wat is door</w:t>
      </w:r>
      <w:r w:rsidR="0065348B">
        <w:rPr>
          <w:i/>
          <w:color w:val="FF0000"/>
        </w:rPr>
        <w:t xml:space="preserve"> de METC goedgekeurd als productinformatie?)</w:t>
      </w:r>
    </w:p>
    <w:p w:rsidR="004E24B6" w:rsidRPr="00F85CFB" w:rsidRDefault="004E24B6" w:rsidP="00F85CFB">
      <w:pPr>
        <w:ind w:left="360"/>
        <w:rPr>
          <w:i/>
          <w:color w:val="FF0000"/>
        </w:rPr>
      </w:pPr>
    </w:p>
    <w:p w:rsidR="00985279" w:rsidRPr="00985279" w:rsidRDefault="00985279" w:rsidP="00732DB0">
      <w:pPr>
        <w:rPr>
          <w:i/>
          <w:color w:val="FF0000"/>
        </w:rPr>
      </w:pPr>
    </w:p>
    <w:p w:rsidR="000457C1" w:rsidRPr="00985279" w:rsidRDefault="000457C1" w:rsidP="00732DB0">
      <w:pPr>
        <w:rPr>
          <w:i/>
          <w:color w:val="FF0000"/>
        </w:rPr>
      </w:pPr>
    </w:p>
    <w:p w:rsidR="000457C1" w:rsidRPr="00732DB0" w:rsidRDefault="000457C1" w:rsidP="00732DB0"/>
    <w:sectPr w:rsidR="000457C1" w:rsidRPr="00732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C1" w:rsidRDefault="000457C1">
      <w:r>
        <w:separator/>
      </w:r>
    </w:p>
  </w:endnote>
  <w:endnote w:type="continuationSeparator" w:id="0">
    <w:p w:rsidR="000457C1" w:rsidRDefault="0004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F8" w:rsidRDefault="006F67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F8" w:rsidRDefault="006F67F8" w:rsidP="006F67F8">
    <w:pPr>
      <w:pStyle w:val="Voettekst"/>
      <w:rPr>
        <w:rFonts w:cs="Arial"/>
        <w:sz w:val="20"/>
        <w:szCs w:val="20"/>
      </w:rPr>
    </w:pPr>
    <w:r>
      <w:rPr>
        <w:rFonts w:cs="Arial"/>
        <w:iCs/>
        <w:sz w:val="20"/>
      </w:rPr>
      <w:t>SAE melding en rapp</w:t>
    </w:r>
    <w:r w:rsidR="00E516A9">
      <w:rPr>
        <w:rFonts w:cs="Arial"/>
        <w:iCs/>
        <w:sz w:val="20"/>
      </w:rPr>
      <w:t>o</w:t>
    </w:r>
    <w:r>
      <w:rPr>
        <w:rFonts w:cs="Arial"/>
        <w:iCs/>
        <w:sz w:val="20"/>
      </w:rPr>
      <w:t>rtage</w:t>
    </w:r>
    <w:r>
      <w:rPr>
        <w:rFonts w:cs="Arial"/>
        <w:iCs/>
        <w:sz w:val="20"/>
        <w:szCs w:val="20"/>
      </w:rPr>
      <w:tab/>
    </w:r>
    <w:r>
      <w:rPr>
        <w:rFonts w:cs="Arial"/>
        <w:iCs/>
        <w:sz w:val="20"/>
        <w:szCs w:val="20"/>
      </w:rPr>
      <w:tab/>
      <w:t xml:space="preserve">Pagina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PAGE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6F67F8">
      <w:rPr>
        <w:rFonts w:cs="Arial"/>
        <w:iCs/>
        <w:sz w:val="20"/>
      </w:rPr>
      <w:t>1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iCs/>
        <w:sz w:val="20"/>
        <w:szCs w:val="20"/>
      </w:rPr>
      <w:t xml:space="preserve"> van </w:t>
    </w:r>
    <w:r>
      <w:rPr>
        <w:rFonts w:cs="Arial"/>
        <w:iCs/>
        <w:sz w:val="20"/>
        <w:szCs w:val="20"/>
        <w:lang w:val="en-US"/>
      </w:rPr>
      <w:fldChar w:fldCharType="begin"/>
    </w:r>
    <w:r>
      <w:rPr>
        <w:rFonts w:cs="Arial"/>
        <w:iCs/>
        <w:sz w:val="20"/>
        <w:szCs w:val="20"/>
      </w:rPr>
      <w:instrText xml:space="preserve"> NUMPAGES </w:instrText>
    </w:r>
    <w:r>
      <w:rPr>
        <w:rFonts w:cs="Arial"/>
        <w:iCs/>
        <w:sz w:val="20"/>
        <w:szCs w:val="20"/>
        <w:lang w:val="en-US"/>
      </w:rPr>
      <w:fldChar w:fldCharType="separate"/>
    </w:r>
    <w:r w:rsidRPr="006F67F8">
      <w:rPr>
        <w:rFonts w:cs="Arial"/>
        <w:iCs/>
        <w:sz w:val="20"/>
      </w:rPr>
      <w:t>4</w:t>
    </w:r>
    <w:r>
      <w:rPr>
        <w:rFonts w:cs="Arial"/>
        <w:iCs/>
        <w:sz w:val="20"/>
        <w:szCs w:val="20"/>
        <w:lang w:val="en-US"/>
      </w:rPr>
      <w:fldChar w:fldCharType="end"/>
    </w:r>
    <w:r>
      <w:rPr>
        <w:rFonts w:cs="Arial"/>
        <w:sz w:val="20"/>
        <w:szCs w:val="20"/>
      </w:rPr>
      <w:t xml:space="preserve"> </w:t>
    </w:r>
  </w:p>
  <w:p w:rsidR="006F67F8" w:rsidRDefault="006F67F8" w:rsidP="006F67F8">
    <w:pPr>
      <w:pStyle w:val="Voettekst"/>
      <w:rPr>
        <w:rFonts w:cs="Arial"/>
        <w:iCs/>
        <w:sz w:val="20"/>
        <w:szCs w:val="20"/>
      </w:rPr>
    </w:pPr>
    <w:r>
      <w:rPr>
        <w:rFonts w:cs="Arial"/>
        <w:iCs/>
        <w:sz w:val="20"/>
        <w:szCs w:val="20"/>
      </w:rPr>
      <w:t>Versie 1; 01-Mei-2019</w:t>
    </w:r>
  </w:p>
  <w:p w:rsidR="00F85CFB" w:rsidRDefault="00F85CFB">
    <w:pPr>
      <w:pStyle w:val="Voettekst"/>
    </w:pPr>
  </w:p>
  <w:p w:rsidR="00F85CFB" w:rsidRDefault="00F85CFB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F8" w:rsidRDefault="006F67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C1" w:rsidRDefault="000457C1">
      <w:r>
        <w:separator/>
      </w:r>
    </w:p>
  </w:footnote>
  <w:footnote w:type="continuationSeparator" w:id="0">
    <w:p w:rsidR="000457C1" w:rsidRDefault="00045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F8" w:rsidRDefault="006F67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B86" w:rsidRDefault="006F5B86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A26F82" wp14:editId="3D9CA61E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5B86" w:rsidRDefault="006F5B8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7F8" w:rsidRDefault="006F67F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2D03"/>
    <w:multiLevelType w:val="hybridMultilevel"/>
    <w:tmpl w:val="08F6328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C5869EE"/>
    <w:multiLevelType w:val="hybridMultilevel"/>
    <w:tmpl w:val="4064B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A17EC"/>
    <w:multiLevelType w:val="hybridMultilevel"/>
    <w:tmpl w:val="E3CC8B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F1733"/>
    <w:multiLevelType w:val="multilevel"/>
    <w:tmpl w:val="B85E65B6"/>
    <w:lvl w:ilvl="0">
      <w:start w:val="1"/>
      <w:numFmt w:val="lowerLetter"/>
      <w:pStyle w:val="Tussenkopj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FE5D1D"/>
    <w:multiLevelType w:val="hybridMultilevel"/>
    <w:tmpl w:val="BF2A3AFC"/>
    <w:lvl w:ilvl="0" w:tplc="914C85D4">
      <w:start w:val="1"/>
      <w:numFmt w:val="bullet"/>
      <w:pStyle w:val="MCAOpsommingpun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C536FB"/>
    <w:multiLevelType w:val="hybridMultilevel"/>
    <w:tmpl w:val="BF2A3AFC"/>
    <w:lvl w:ilvl="0" w:tplc="6CEE4D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7C1"/>
    <w:rsid w:val="000457C1"/>
    <w:rsid w:val="000A2F82"/>
    <w:rsid w:val="000F0920"/>
    <w:rsid w:val="00104666"/>
    <w:rsid w:val="00117559"/>
    <w:rsid w:val="001D798F"/>
    <w:rsid w:val="00210AB8"/>
    <w:rsid w:val="002244D4"/>
    <w:rsid w:val="00276FF3"/>
    <w:rsid w:val="00291C2D"/>
    <w:rsid w:val="002A094E"/>
    <w:rsid w:val="002E1F99"/>
    <w:rsid w:val="003308AF"/>
    <w:rsid w:val="003C59EB"/>
    <w:rsid w:val="003F0555"/>
    <w:rsid w:val="0041127B"/>
    <w:rsid w:val="004B1BC4"/>
    <w:rsid w:val="004D47AB"/>
    <w:rsid w:val="004E24B6"/>
    <w:rsid w:val="004E55AA"/>
    <w:rsid w:val="00502F4C"/>
    <w:rsid w:val="00593EF4"/>
    <w:rsid w:val="005A4987"/>
    <w:rsid w:val="0065348B"/>
    <w:rsid w:val="00653FF8"/>
    <w:rsid w:val="006761B0"/>
    <w:rsid w:val="006B3A57"/>
    <w:rsid w:val="006B5D1D"/>
    <w:rsid w:val="006B61BB"/>
    <w:rsid w:val="006D4FA5"/>
    <w:rsid w:val="006E6566"/>
    <w:rsid w:val="006F5B86"/>
    <w:rsid w:val="006F67F8"/>
    <w:rsid w:val="00732DB0"/>
    <w:rsid w:val="00782792"/>
    <w:rsid w:val="00785983"/>
    <w:rsid w:val="007E625F"/>
    <w:rsid w:val="00806722"/>
    <w:rsid w:val="008B11E4"/>
    <w:rsid w:val="008C58A6"/>
    <w:rsid w:val="008F6E87"/>
    <w:rsid w:val="00961757"/>
    <w:rsid w:val="00985279"/>
    <w:rsid w:val="009A4A66"/>
    <w:rsid w:val="00A365F5"/>
    <w:rsid w:val="00B0493F"/>
    <w:rsid w:val="00B45048"/>
    <w:rsid w:val="00BF4C48"/>
    <w:rsid w:val="00C04435"/>
    <w:rsid w:val="00C11FEA"/>
    <w:rsid w:val="00C12117"/>
    <w:rsid w:val="00C479AA"/>
    <w:rsid w:val="00C5225C"/>
    <w:rsid w:val="00C835DC"/>
    <w:rsid w:val="00CC30FF"/>
    <w:rsid w:val="00D6127D"/>
    <w:rsid w:val="00E14D2C"/>
    <w:rsid w:val="00E30510"/>
    <w:rsid w:val="00E44701"/>
    <w:rsid w:val="00E516A9"/>
    <w:rsid w:val="00E75C51"/>
    <w:rsid w:val="00ED4CD3"/>
    <w:rsid w:val="00ED6A59"/>
    <w:rsid w:val="00EF29AC"/>
    <w:rsid w:val="00F046ED"/>
    <w:rsid w:val="00F11623"/>
    <w:rsid w:val="00F85CFB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A462619"/>
  <w15:docId w15:val="{9BDB322A-E750-407F-9D79-9E4174ED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C479AA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1"/>
    <w:qFormat/>
    <w:rsid w:val="00C479AA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C479AA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C479AA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C479A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C479AA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CAOpsommingpunt">
    <w:name w:val="MCA Opsomming punt"/>
    <w:basedOn w:val="Standaard"/>
    <w:pPr>
      <w:numPr>
        <w:numId w:val="1"/>
      </w:numPr>
      <w:tabs>
        <w:tab w:val="left" w:pos="425"/>
      </w:tabs>
    </w:pPr>
  </w:style>
  <w:style w:type="paragraph" w:customStyle="1" w:styleId="CentrItalic">
    <w:name w:val="CentrItalic"/>
    <w:basedOn w:val="Standaard"/>
    <w:next w:val="Standaard"/>
    <w:pPr>
      <w:jc w:val="center"/>
    </w:pPr>
    <w:rPr>
      <w:b/>
      <w:bCs/>
      <w:i/>
      <w:iCs/>
    </w:rPr>
  </w:style>
  <w:style w:type="paragraph" w:customStyle="1" w:styleId="Klein9pt">
    <w:name w:val="Klein9pt"/>
    <w:basedOn w:val="Standaard"/>
    <w:rPr>
      <w:sz w:val="18"/>
    </w:rPr>
  </w:style>
  <w:style w:type="paragraph" w:customStyle="1" w:styleId="Kopje">
    <w:name w:val="Kopje"/>
    <w:basedOn w:val="Standaard"/>
    <w:next w:val="Standaard"/>
    <w:rPr>
      <w:b/>
      <w:bCs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Pr>
      <w:rFonts w:ascii="Arial" w:hAnsi="Arial"/>
      <w:sz w:val="18"/>
    </w:rPr>
  </w:style>
  <w:style w:type="paragraph" w:customStyle="1" w:styleId="Tussenkopje">
    <w:name w:val="Tussenkopje"/>
    <w:basedOn w:val="Standaard"/>
    <w:next w:val="VervolgTussenk"/>
    <w:pPr>
      <w:numPr>
        <w:numId w:val="3"/>
      </w:numPr>
    </w:pPr>
  </w:style>
  <w:style w:type="paragraph" w:customStyle="1" w:styleId="VervolgTussenk">
    <w:name w:val="VervolgTussenk"/>
    <w:basedOn w:val="Standaard"/>
    <w:pPr>
      <w:ind w:left="357"/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  <w:rPr>
      <w:sz w:val="18"/>
    </w:rPr>
  </w:style>
  <w:style w:type="character" w:customStyle="1" w:styleId="Kop5Char">
    <w:name w:val="Kop 5 Char"/>
    <w:basedOn w:val="Standaardalinea-lettertype"/>
    <w:link w:val="Kop5"/>
    <w:uiPriority w:val="1"/>
    <w:rsid w:val="00C479AA"/>
    <w:rPr>
      <w:rFonts w:ascii="Arial" w:eastAsiaTheme="majorEastAsia" w:hAnsi="Arial" w:cstheme="majorBidi"/>
      <w:i/>
      <w:szCs w:val="24"/>
    </w:rPr>
  </w:style>
  <w:style w:type="character" w:customStyle="1" w:styleId="Kop1Char">
    <w:name w:val="Kop 1 Char"/>
    <w:basedOn w:val="Standaardalinea-lettertype"/>
    <w:link w:val="Kop1"/>
    <w:uiPriority w:val="1"/>
    <w:rsid w:val="00C479AA"/>
    <w:rPr>
      <w:rFonts w:ascii="Arial" w:hAnsi="Arial"/>
      <w:b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C479AA"/>
    <w:rPr>
      <w:rFonts w:ascii="Arial" w:hAnsi="Arial" w:cs="Arial"/>
      <w:b/>
      <w:bCs/>
      <w:iCs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1"/>
    <w:rsid w:val="00C479AA"/>
    <w:rPr>
      <w:rFonts w:ascii="Arial" w:hAnsi="Arial" w:cs="Arial"/>
      <w:b/>
      <w:bCs/>
    </w:rPr>
  </w:style>
  <w:style w:type="character" w:customStyle="1" w:styleId="Kop4Char">
    <w:name w:val="Kop 4 Char"/>
    <w:basedOn w:val="Standaardalinea-lettertype"/>
    <w:link w:val="Kop4"/>
    <w:uiPriority w:val="1"/>
    <w:rsid w:val="00C479AA"/>
    <w:rPr>
      <w:rFonts w:ascii="Arial" w:eastAsiaTheme="majorEastAsia" w:hAnsi="Arial" w:cstheme="majorBidi"/>
      <w:b/>
      <w:bCs/>
      <w:i/>
      <w:iCs/>
      <w:szCs w:val="24"/>
    </w:rPr>
  </w:style>
  <w:style w:type="paragraph" w:styleId="Lijstalinea">
    <w:name w:val="List Paragraph"/>
    <w:basedOn w:val="Standaard"/>
    <w:uiPriority w:val="34"/>
    <w:qFormat/>
    <w:rsid w:val="002244D4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F85CFB"/>
    <w:rPr>
      <w:rFonts w:ascii="Arial" w:hAnsi="Arial"/>
      <w:sz w:val="18"/>
      <w:szCs w:val="24"/>
    </w:rPr>
  </w:style>
  <w:style w:type="paragraph" w:styleId="Ballontekst">
    <w:name w:val="Balloon Text"/>
    <w:basedOn w:val="Standaard"/>
    <w:link w:val="BallontekstChar"/>
    <w:rsid w:val="00F85C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85CFB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F5B8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5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CA Gemini Groep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CA Gemini Groe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BD04-4317-4161-AA64-10A7DF16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Noordwest Blanco document</vt:lpstr>
    </vt:vector>
  </TitlesOfParts>
  <Company>Medisch Centrum Alkmaar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Noordwest Blanco document</dc:title>
  <dc:creator>Doodeman, Jeroen</dc:creator>
  <cp:lastModifiedBy>Doodeman, Jeroen</cp:lastModifiedBy>
  <cp:revision>6</cp:revision>
  <cp:lastPrinted>1900-12-31T23:00:00Z</cp:lastPrinted>
  <dcterms:created xsi:type="dcterms:W3CDTF">2016-08-16T06:41:00Z</dcterms:created>
  <dcterms:modified xsi:type="dcterms:W3CDTF">2019-04-29T06:39:00Z</dcterms:modified>
  <cp:category>MCA algemeen</cp:category>
</cp:coreProperties>
</file>